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AE6694" w:rsidRDefault="00D05B53" w:rsidP="00D05B53">
      <w:pPr>
        <w:pStyle w:val="4"/>
        <w:ind w:firstLine="0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DA3A03">
        <w:rPr>
          <w:bCs w:val="0"/>
          <w:sz w:val="32"/>
          <w:szCs w:val="32"/>
        </w:rPr>
        <w:t xml:space="preserve"> </w:t>
      </w:r>
      <w:r w:rsidR="000155E4">
        <w:rPr>
          <w:bCs w:val="0"/>
          <w:sz w:val="32"/>
          <w:szCs w:val="32"/>
        </w:rPr>
        <w:t>(ПРОЕКТ)</w:t>
      </w:r>
    </w:p>
    <w:p w:rsidR="00897A0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 </w:t>
      </w:r>
      <w:r w:rsidR="00E84845">
        <w:rPr>
          <w:snapToGrid w:val="0"/>
          <w:sz w:val="28"/>
          <w:szCs w:val="28"/>
        </w:rPr>
        <w:t>00</w:t>
      </w:r>
      <w:r w:rsidR="00503162">
        <w:rPr>
          <w:snapToGrid w:val="0"/>
          <w:sz w:val="28"/>
          <w:szCs w:val="28"/>
        </w:rPr>
        <w:t>.00</w:t>
      </w:r>
      <w:r w:rsidR="00181B48">
        <w:rPr>
          <w:snapToGrid w:val="0"/>
          <w:sz w:val="28"/>
          <w:szCs w:val="28"/>
        </w:rPr>
        <w:t>.201</w:t>
      </w:r>
      <w:r w:rsidR="00503162">
        <w:rPr>
          <w:snapToGrid w:val="0"/>
          <w:sz w:val="28"/>
          <w:szCs w:val="28"/>
        </w:rPr>
        <w:t>8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ED2E55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>00</w:t>
      </w:r>
      <w:r w:rsidR="00503162" w:rsidRPr="00F41539">
        <w:rPr>
          <w:snapToGrid w:val="0"/>
          <w:sz w:val="28"/>
          <w:szCs w:val="28"/>
        </w:rPr>
        <w:t>0</w:t>
      </w:r>
      <w:r w:rsidR="00505508" w:rsidRPr="00F41539">
        <w:rPr>
          <w:snapToGrid w:val="0"/>
          <w:sz w:val="28"/>
          <w:szCs w:val="28"/>
        </w:rPr>
        <w:t xml:space="preserve">    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C06D8A" w:rsidRDefault="00423154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C06D8A">
        <w:rPr>
          <w:b/>
          <w:bCs/>
          <w:snapToGrid w:val="0"/>
          <w:sz w:val="28"/>
          <w:szCs w:val="28"/>
        </w:rPr>
        <w:t xml:space="preserve">О бюджете </w:t>
      </w:r>
      <w:proofErr w:type="spellStart"/>
      <w:r w:rsidR="00C06D8A">
        <w:rPr>
          <w:b/>
          <w:bCs/>
          <w:snapToGrid w:val="0"/>
          <w:sz w:val="28"/>
          <w:szCs w:val="28"/>
        </w:rPr>
        <w:t>Федорковского</w:t>
      </w:r>
      <w:proofErr w:type="spellEnd"/>
      <w:r w:rsidR="00C06D8A">
        <w:rPr>
          <w:b/>
          <w:bCs/>
          <w:snapToGrid w:val="0"/>
          <w:sz w:val="28"/>
          <w:szCs w:val="28"/>
        </w:rPr>
        <w:t xml:space="preserve">  </w:t>
      </w:r>
      <w:proofErr w:type="gramStart"/>
      <w:r w:rsidR="00C06D8A">
        <w:rPr>
          <w:b/>
          <w:bCs/>
          <w:snapToGrid w:val="0"/>
          <w:sz w:val="28"/>
          <w:szCs w:val="28"/>
        </w:rPr>
        <w:t>сельского</w:t>
      </w:r>
      <w:proofErr w:type="gramEnd"/>
    </w:p>
    <w:p w:rsidR="00C06D8A" w:rsidRDefault="00C06D8A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поселения на 201</w:t>
      </w:r>
      <w:r w:rsidR="00503162">
        <w:rPr>
          <w:b/>
          <w:bCs/>
          <w:snapToGrid w:val="0"/>
          <w:sz w:val="28"/>
          <w:szCs w:val="28"/>
        </w:rPr>
        <w:t>9</w:t>
      </w:r>
      <w:r>
        <w:rPr>
          <w:b/>
          <w:bCs/>
          <w:snapToGrid w:val="0"/>
          <w:sz w:val="28"/>
          <w:szCs w:val="28"/>
        </w:rPr>
        <w:t xml:space="preserve"> и на </w:t>
      </w:r>
      <w:proofErr w:type="gramStart"/>
      <w:r>
        <w:rPr>
          <w:b/>
          <w:bCs/>
          <w:snapToGrid w:val="0"/>
          <w:sz w:val="28"/>
          <w:szCs w:val="28"/>
        </w:rPr>
        <w:t>плановый</w:t>
      </w:r>
      <w:proofErr w:type="gramEnd"/>
      <w:r>
        <w:rPr>
          <w:b/>
          <w:bCs/>
          <w:snapToGrid w:val="0"/>
          <w:sz w:val="28"/>
          <w:szCs w:val="28"/>
        </w:rPr>
        <w:t xml:space="preserve"> </w:t>
      </w:r>
    </w:p>
    <w:p w:rsidR="00C06D8A" w:rsidRDefault="00503162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период 2020</w:t>
      </w:r>
      <w:r w:rsidR="00E84845">
        <w:rPr>
          <w:b/>
          <w:bCs/>
          <w:snapToGrid w:val="0"/>
          <w:sz w:val="28"/>
          <w:szCs w:val="28"/>
        </w:rPr>
        <w:t xml:space="preserve"> и 202</w:t>
      </w:r>
      <w:r>
        <w:rPr>
          <w:b/>
          <w:bCs/>
          <w:snapToGrid w:val="0"/>
          <w:sz w:val="28"/>
          <w:szCs w:val="28"/>
        </w:rPr>
        <w:t>1</w:t>
      </w:r>
      <w:r w:rsidR="00C06D8A">
        <w:rPr>
          <w:b/>
          <w:bCs/>
          <w:snapToGrid w:val="0"/>
          <w:sz w:val="28"/>
          <w:szCs w:val="28"/>
        </w:rPr>
        <w:t xml:space="preserve"> годов </w:t>
      </w:r>
    </w:p>
    <w:p w:rsidR="00C06D8A" w:rsidRDefault="00C06D8A" w:rsidP="00C06D8A">
      <w:pPr>
        <w:ind w:firstLine="480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C06D8A" w:rsidRDefault="00C06D8A" w:rsidP="00C06D8A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C06D8A" w:rsidRDefault="00C06D8A" w:rsidP="00C06D8A">
      <w:pPr>
        <w:ind w:firstLine="90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Пункт 1. Основные характеристики бюджета сельского поселения на 201</w:t>
      </w:r>
      <w:r w:rsidR="00503162">
        <w:rPr>
          <w:b/>
          <w:bCs/>
          <w:sz w:val="28"/>
          <w:szCs w:val="28"/>
        </w:rPr>
        <w:t>9 год и на плановый период 2020 и 2021</w:t>
      </w:r>
      <w:r>
        <w:rPr>
          <w:b/>
          <w:bCs/>
          <w:sz w:val="28"/>
          <w:szCs w:val="28"/>
        </w:rPr>
        <w:t xml:space="preserve"> годов</w:t>
      </w:r>
    </w:p>
    <w:p w:rsidR="00C06D8A" w:rsidRDefault="00C06D8A" w:rsidP="00C06D8A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сельского поселения на 201</w:t>
      </w:r>
      <w:r w:rsidR="00503162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503162">
        <w:rPr>
          <w:rFonts w:ascii="Times New Roman CYR" w:hAnsi="Times New Roman CYR" w:cs="Times New Roman CYR"/>
          <w:sz w:val="28"/>
          <w:szCs w:val="28"/>
        </w:rPr>
        <w:t>14324,36000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503162">
        <w:rPr>
          <w:rFonts w:ascii="Times New Roman CYR" w:hAnsi="Times New Roman CYR" w:cs="Times New Roman CYR"/>
          <w:sz w:val="28"/>
          <w:szCs w:val="28"/>
        </w:rPr>
        <w:t>14324,36000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сельского поселения в сумме 0,0 тыс. рублей.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основные характеристики бюд</w:t>
      </w:r>
      <w:r w:rsidR="00503162">
        <w:rPr>
          <w:rFonts w:ascii="Times New Roman CYR" w:hAnsi="Times New Roman CYR" w:cs="Times New Roman CYR"/>
          <w:sz w:val="28"/>
          <w:szCs w:val="28"/>
        </w:rPr>
        <w:t>жета сельского поселения  на 2020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50316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на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503162">
        <w:rPr>
          <w:rFonts w:ascii="Times New Roman CYR" w:hAnsi="Times New Roman CYR" w:cs="Times New Roman CYR"/>
          <w:sz w:val="28"/>
          <w:szCs w:val="28"/>
        </w:rPr>
        <w:t>2020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503162">
        <w:rPr>
          <w:rFonts w:ascii="Times New Roman CYR" w:hAnsi="Times New Roman CYR" w:cs="Times New Roman CYR"/>
          <w:sz w:val="28"/>
          <w:szCs w:val="28"/>
        </w:rPr>
        <w:t>13526,23000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тыс. рублей и на 202</w:t>
      </w:r>
      <w:r w:rsidR="0050316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A97370">
        <w:rPr>
          <w:rFonts w:ascii="Times New Roman CYR" w:hAnsi="Times New Roman CYR" w:cs="Times New Roman CYR"/>
          <w:sz w:val="28"/>
          <w:szCs w:val="28"/>
        </w:rPr>
        <w:t>1</w:t>
      </w:r>
      <w:r w:rsidR="00503162">
        <w:rPr>
          <w:rFonts w:ascii="Times New Roman CYR" w:hAnsi="Times New Roman CYR" w:cs="Times New Roman CYR"/>
          <w:sz w:val="28"/>
          <w:szCs w:val="28"/>
        </w:rPr>
        <w:t>4567,13000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503162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</w:t>
      </w:r>
      <w:r w:rsidR="00503162">
        <w:rPr>
          <w:sz w:val="28"/>
          <w:szCs w:val="28"/>
        </w:rPr>
        <w:t>джета сельского поселения на 2020</w:t>
      </w:r>
      <w:r>
        <w:rPr>
          <w:sz w:val="28"/>
          <w:szCs w:val="28"/>
        </w:rPr>
        <w:t xml:space="preserve"> год в сумме </w:t>
      </w:r>
      <w:r w:rsidR="00A97370">
        <w:rPr>
          <w:sz w:val="28"/>
          <w:szCs w:val="28"/>
        </w:rPr>
        <w:t>1</w:t>
      </w:r>
      <w:r w:rsidR="00503162">
        <w:rPr>
          <w:sz w:val="28"/>
          <w:szCs w:val="28"/>
        </w:rPr>
        <w:t>3526,23000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условно утвержденные расходы  в сумме </w:t>
      </w:r>
    </w:p>
    <w:p w:rsidR="00C06D8A" w:rsidRDefault="00E84845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</w:t>
      </w:r>
      <w:r w:rsidR="0050316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503162">
        <w:rPr>
          <w:sz w:val="28"/>
          <w:szCs w:val="28"/>
        </w:rPr>
        <w:t>60000</w:t>
      </w:r>
      <w:r w:rsidR="00C06D8A">
        <w:rPr>
          <w:sz w:val="28"/>
          <w:szCs w:val="28"/>
        </w:rPr>
        <w:t xml:space="preserve"> тыс. рублей, и на 20</w:t>
      </w:r>
      <w:r>
        <w:rPr>
          <w:sz w:val="28"/>
          <w:szCs w:val="28"/>
        </w:rPr>
        <w:t>2</w:t>
      </w:r>
      <w:r w:rsidR="00503162">
        <w:rPr>
          <w:sz w:val="28"/>
          <w:szCs w:val="28"/>
        </w:rPr>
        <w:t>1</w:t>
      </w:r>
      <w:r w:rsidR="00C06D8A">
        <w:rPr>
          <w:sz w:val="28"/>
          <w:szCs w:val="28"/>
        </w:rPr>
        <w:t xml:space="preserve"> год в сумме</w:t>
      </w:r>
      <w:r w:rsidR="00A97370">
        <w:rPr>
          <w:sz w:val="28"/>
          <w:szCs w:val="28"/>
        </w:rPr>
        <w:t xml:space="preserve"> 1</w:t>
      </w:r>
      <w:r w:rsidR="00503162">
        <w:rPr>
          <w:sz w:val="28"/>
          <w:szCs w:val="28"/>
        </w:rPr>
        <w:t>4567,13000</w:t>
      </w:r>
      <w:r w:rsidR="00C06D8A">
        <w:rPr>
          <w:sz w:val="28"/>
          <w:szCs w:val="28"/>
        </w:rPr>
        <w:t>тыс. рублей, в том чи</w:t>
      </w:r>
      <w:r w:rsidR="00C06D8A">
        <w:rPr>
          <w:sz w:val="28"/>
          <w:szCs w:val="28"/>
        </w:rPr>
        <w:t>с</w:t>
      </w:r>
      <w:r w:rsidR="00C06D8A">
        <w:rPr>
          <w:sz w:val="28"/>
          <w:szCs w:val="28"/>
        </w:rPr>
        <w:t xml:space="preserve">ле условно утвержденные расходы  в сумме </w:t>
      </w:r>
      <w:r w:rsidR="00503162">
        <w:rPr>
          <w:sz w:val="28"/>
          <w:szCs w:val="28"/>
        </w:rPr>
        <w:t>652,90000</w:t>
      </w:r>
      <w:r w:rsidR="00C06D8A">
        <w:rPr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</w:t>
      </w:r>
      <w:r w:rsidR="00503162">
        <w:rPr>
          <w:sz w:val="28"/>
          <w:szCs w:val="28"/>
        </w:rPr>
        <w:t>джета сельского поселения на 2020</w:t>
      </w:r>
      <w:r>
        <w:rPr>
          <w:sz w:val="28"/>
          <w:szCs w:val="28"/>
        </w:rPr>
        <w:t xml:space="preserve"> г</w:t>
      </w:r>
      <w:r w:rsidR="00E84845">
        <w:rPr>
          <w:sz w:val="28"/>
          <w:szCs w:val="28"/>
        </w:rPr>
        <w:t>од в сумме 0,0 тыс. рублей и 202</w:t>
      </w:r>
      <w:r w:rsidR="00503162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0,0 тыс. рублей.</w:t>
      </w:r>
    </w:p>
    <w:p w:rsidR="00C06D8A" w:rsidRDefault="00C06D8A" w:rsidP="00C06D8A">
      <w:pPr>
        <w:widowControl w:val="0"/>
        <w:adjustRightInd w:val="0"/>
        <w:jc w:val="both"/>
        <w:rPr>
          <w:sz w:val="28"/>
          <w:szCs w:val="28"/>
        </w:rPr>
      </w:pPr>
    </w:p>
    <w:p w:rsidR="00C06D8A" w:rsidRDefault="00C06D8A" w:rsidP="00C06D8A">
      <w:pPr>
        <w:widowControl w:val="0"/>
        <w:adjustRightInd w:val="0"/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Пункт 2. Прогнозируемые поступления доходов в бюджет сельского посел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ния</w:t>
      </w: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Утвердить прогнозируемые поступления доходов в бюджет сельского поселения на 201</w:t>
      </w:r>
      <w:r w:rsidR="00503162">
        <w:rPr>
          <w:sz w:val="28"/>
          <w:szCs w:val="28"/>
        </w:rPr>
        <w:t>9 год и на плановый период 2020</w:t>
      </w:r>
      <w:r w:rsidR="00E84845">
        <w:rPr>
          <w:sz w:val="28"/>
          <w:szCs w:val="28"/>
        </w:rPr>
        <w:t xml:space="preserve"> и 202</w:t>
      </w:r>
      <w:r w:rsidR="00503162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</w:t>
      </w:r>
      <w:r w:rsidRPr="005C7315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решению.</w:t>
      </w: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3. Источники внутреннего финансирования дефицита бюджета сел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ского поселения</w:t>
      </w:r>
    </w:p>
    <w:p w:rsidR="00C06D8A" w:rsidRDefault="00B054D1" w:rsidP="00C06D8A">
      <w:pPr>
        <w:widowControl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06D8A">
        <w:rPr>
          <w:sz w:val="28"/>
          <w:szCs w:val="28"/>
        </w:rPr>
        <w:t>Установить, что в 201</w:t>
      </w:r>
      <w:r w:rsidR="00503162">
        <w:rPr>
          <w:sz w:val="28"/>
          <w:szCs w:val="28"/>
        </w:rPr>
        <w:t>9</w:t>
      </w:r>
      <w:r w:rsidR="00C06D8A">
        <w:rPr>
          <w:sz w:val="28"/>
          <w:szCs w:val="28"/>
        </w:rPr>
        <w:t xml:space="preserve"> году остатки средств бюджета сельского поселения по с</w:t>
      </w:r>
      <w:r w:rsidR="00C06D8A">
        <w:rPr>
          <w:sz w:val="28"/>
          <w:szCs w:val="28"/>
        </w:rPr>
        <w:t>о</w:t>
      </w:r>
      <w:r w:rsidR="00C06D8A">
        <w:rPr>
          <w:sz w:val="28"/>
          <w:szCs w:val="28"/>
        </w:rPr>
        <w:t>стоянию на 1 января 201</w:t>
      </w:r>
      <w:r w:rsidR="00503162">
        <w:rPr>
          <w:sz w:val="28"/>
          <w:szCs w:val="28"/>
        </w:rPr>
        <w:t>9</w:t>
      </w:r>
      <w:r w:rsidR="00C06D8A">
        <w:rPr>
          <w:sz w:val="28"/>
          <w:szCs w:val="28"/>
        </w:rPr>
        <w:t xml:space="preserve"> года, за исключением остатков неиспользованных средств д</w:t>
      </w:r>
      <w:r w:rsidR="00C06D8A">
        <w:rPr>
          <w:sz w:val="28"/>
          <w:szCs w:val="28"/>
        </w:rPr>
        <w:t>о</w:t>
      </w:r>
      <w:r w:rsidR="00C06D8A">
        <w:rPr>
          <w:sz w:val="28"/>
          <w:szCs w:val="28"/>
        </w:rPr>
        <w:t xml:space="preserve">рожного фонда </w:t>
      </w:r>
      <w:proofErr w:type="spellStart"/>
      <w:r w:rsidR="00A97370">
        <w:rPr>
          <w:sz w:val="28"/>
          <w:szCs w:val="28"/>
        </w:rPr>
        <w:t>Федорковс</w:t>
      </w:r>
      <w:r w:rsidR="00C06D8A">
        <w:rPr>
          <w:sz w:val="28"/>
          <w:szCs w:val="28"/>
        </w:rPr>
        <w:t>кого</w:t>
      </w:r>
      <w:proofErr w:type="spellEnd"/>
      <w:r w:rsidR="00C06D8A">
        <w:rPr>
          <w:sz w:val="28"/>
          <w:szCs w:val="28"/>
        </w:rPr>
        <w:t xml:space="preserve"> </w:t>
      </w:r>
      <w:r w:rsidR="00A97370">
        <w:rPr>
          <w:sz w:val="28"/>
          <w:szCs w:val="28"/>
        </w:rPr>
        <w:t xml:space="preserve"> </w:t>
      </w:r>
      <w:r w:rsidR="00C06D8A">
        <w:rPr>
          <w:sz w:val="28"/>
          <w:szCs w:val="28"/>
        </w:rPr>
        <w:t>сельского поселения, межбюджетных трансфертов, п</w:t>
      </w:r>
      <w:r w:rsidR="00C06D8A">
        <w:rPr>
          <w:sz w:val="28"/>
          <w:szCs w:val="28"/>
        </w:rPr>
        <w:t>о</w:t>
      </w:r>
      <w:r w:rsidR="00C06D8A">
        <w:rPr>
          <w:sz w:val="28"/>
          <w:szCs w:val="28"/>
        </w:rPr>
        <w:t>лученных из областного бюджета и бюджета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сельского поселения</w:t>
      </w:r>
      <w:proofErr w:type="gramEnd"/>
      <w:r w:rsidR="00C06D8A">
        <w:rPr>
          <w:sz w:val="28"/>
          <w:szCs w:val="28"/>
        </w:rPr>
        <w:t xml:space="preserve"> снижения остатков средств на счете по учету средств бюджета сел</w:t>
      </w:r>
      <w:r w:rsidR="00C06D8A">
        <w:rPr>
          <w:sz w:val="28"/>
          <w:szCs w:val="28"/>
        </w:rPr>
        <w:t>ь</w:t>
      </w:r>
      <w:r w:rsidR="00C06D8A">
        <w:rPr>
          <w:sz w:val="28"/>
          <w:szCs w:val="28"/>
        </w:rPr>
        <w:t>ского поселения, могут в полном объеме направляться на покрытие временных кассовых разрывов.</w:t>
      </w:r>
    </w:p>
    <w:p w:rsidR="00C06D8A" w:rsidRDefault="00C06D8A" w:rsidP="00C06D8A">
      <w:pPr>
        <w:widowControl w:val="0"/>
        <w:jc w:val="both"/>
        <w:rPr>
          <w:sz w:val="28"/>
          <w:szCs w:val="28"/>
        </w:rPr>
      </w:pP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4. Нормативы распределения доходов в бюджет сельского поселения на 201</w:t>
      </w:r>
      <w:r w:rsidR="00503162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</w:t>
      </w:r>
      <w:r w:rsidR="00503162">
        <w:rPr>
          <w:rFonts w:ascii="Times New Roman CYR" w:hAnsi="Times New Roman CYR" w:cs="Times New Roman CYR"/>
          <w:b/>
          <w:bCs/>
          <w:sz w:val="28"/>
          <w:szCs w:val="28"/>
        </w:rPr>
        <w:t>вый период 2020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8484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503162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C06D8A" w:rsidRDefault="00C06D8A" w:rsidP="00225800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пунктом 2 статьи 184.1.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Бюджетного кодекса Российской Фед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рации утвердить нормативы распределения доходов в бюджет сельского поселения на 201</w:t>
      </w:r>
      <w:r w:rsidR="00503162">
        <w:rPr>
          <w:rFonts w:ascii="Times New Roman CYR" w:hAnsi="Times New Roman CYR" w:cs="Times New Roman CYR"/>
          <w:sz w:val="28"/>
          <w:szCs w:val="28"/>
        </w:rPr>
        <w:t>9 год и на плановый период 2020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50316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согласно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приложению </w:t>
      </w:r>
      <w:r w:rsidR="00503162">
        <w:rPr>
          <w:rFonts w:ascii="Times New Roman CYR" w:hAnsi="Times New Roman CYR" w:cs="Times New Roman CYR"/>
          <w:sz w:val="28"/>
          <w:szCs w:val="28"/>
        </w:rPr>
        <w:t>2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настоящему решению.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5. Главные администраторы доходов и главные администраторы </w:t>
      </w:r>
      <w:proofErr w:type="gramStart"/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точников финансирования дефицита бюджета сельского поселения</w:t>
      </w:r>
      <w:proofErr w:type="gramEnd"/>
    </w:p>
    <w:p w:rsidR="00C06D8A" w:rsidRPr="005C7315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Утвердить перечень главных администраторов доходов бюджета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согласно </w:t>
      </w:r>
      <w:r w:rsidRPr="005C7315">
        <w:rPr>
          <w:sz w:val="28"/>
          <w:szCs w:val="28"/>
        </w:rPr>
        <w:t xml:space="preserve">приложению </w:t>
      </w:r>
      <w:r w:rsidR="00503162">
        <w:rPr>
          <w:sz w:val="28"/>
          <w:szCs w:val="28"/>
        </w:rPr>
        <w:t>3</w:t>
      </w:r>
      <w:r w:rsidRPr="005C7315">
        <w:rPr>
          <w:sz w:val="28"/>
          <w:szCs w:val="28"/>
        </w:rPr>
        <w:t xml:space="preserve">  к настоящему  решению.</w:t>
      </w:r>
    </w:p>
    <w:p w:rsidR="00C06D8A" w:rsidRDefault="00C06D8A" w:rsidP="00C06D8A">
      <w:pPr>
        <w:ind w:firstLine="900"/>
        <w:jc w:val="both"/>
        <w:rPr>
          <w:color w:val="FF0000"/>
          <w:sz w:val="28"/>
          <w:szCs w:val="28"/>
        </w:rPr>
      </w:pPr>
      <w:r w:rsidRPr="005C7315">
        <w:rPr>
          <w:sz w:val="28"/>
          <w:szCs w:val="28"/>
        </w:rPr>
        <w:t xml:space="preserve">2. Утвердить перечень главных </w:t>
      </w:r>
      <w:proofErr w:type="gramStart"/>
      <w:r w:rsidRPr="005C7315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5C7315">
        <w:rPr>
          <w:sz w:val="28"/>
          <w:szCs w:val="28"/>
        </w:rPr>
        <w:t xml:space="preserve"> согласно приложению </w:t>
      </w:r>
      <w:r w:rsidR="00503162">
        <w:rPr>
          <w:sz w:val="28"/>
          <w:szCs w:val="28"/>
        </w:rPr>
        <w:t>4</w:t>
      </w:r>
      <w:r w:rsidRPr="005C7315">
        <w:rPr>
          <w:sz w:val="28"/>
          <w:szCs w:val="28"/>
        </w:rPr>
        <w:t xml:space="preserve"> к настоящему  реш</w:t>
      </w:r>
      <w:r w:rsidRPr="005C7315">
        <w:rPr>
          <w:sz w:val="28"/>
          <w:szCs w:val="28"/>
        </w:rPr>
        <w:t>е</w:t>
      </w:r>
      <w:r w:rsidRPr="005C7315">
        <w:rPr>
          <w:sz w:val="28"/>
          <w:szCs w:val="28"/>
        </w:rPr>
        <w:t>нию.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6. Особенности использования средств, поступающих во временное распоряжение получателей средств бюджета сельского поселения</w:t>
      </w:r>
    </w:p>
    <w:p w:rsidR="00C06D8A" w:rsidRDefault="00C06D8A" w:rsidP="00225800">
      <w:pPr>
        <w:ind w:firstLine="90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Операции со средствами, поступающими во временное распоряжение получат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средств бюджета сельского поселения в соответствии с нормативными правовыми актами Российской Федерации,  нормативными правовыми актами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сти, нормативными правовыми актами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муниципального района,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ными правовыми актами </w:t>
      </w:r>
      <w:proofErr w:type="spellStart"/>
      <w:r w:rsidR="00151185"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поселения, в соответствии с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ченным соглашением учитываются на лицевых счетах, открытых им в Управлении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казначейства по Новгородской области.</w:t>
      </w:r>
      <w:proofErr w:type="gramEnd"/>
    </w:p>
    <w:p w:rsidR="00C06D8A" w:rsidRDefault="00C06D8A" w:rsidP="00C06D8A">
      <w:pPr>
        <w:jc w:val="both"/>
        <w:rPr>
          <w:color w:val="FF000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Пункт 7. Межбюджетные трансферты, получаемые из других бюджетов бюджетной системы Российской Федерации</w:t>
      </w:r>
      <w:r>
        <w:rPr>
          <w:sz w:val="28"/>
          <w:szCs w:val="28"/>
        </w:rPr>
        <w:t xml:space="preserve">           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201</w:t>
      </w:r>
      <w:r w:rsidR="0050316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>10223,16000 тыс. ру</w:t>
      </w:r>
      <w:r w:rsidR="00503162">
        <w:rPr>
          <w:sz w:val="28"/>
          <w:szCs w:val="28"/>
        </w:rPr>
        <w:t>б</w:t>
      </w:r>
      <w:r w:rsidR="00503162">
        <w:rPr>
          <w:sz w:val="28"/>
          <w:szCs w:val="28"/>
        </w:rPr>
        <w:lastRenderedPageBreak/>
        <w:t>лей, на 2020</w:t>
      </w:r>
      <w:r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>8155,03000</w:t>
      </w:r>
      <w:r w:rsidR="00E84845">
        <w:rPr>
          <w:sz w:val="28"/>
          <w:szCs w:val="28"/>
        </w:rPr>
        <w:t xml:space="preserve"> тыс. рублей и на 202</w:t>
      </w:r>
      <w:r w:rsidR="00503162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>7975,63000</w:t>
      </w:r>
      <w:r>
        <w:rPr>
          <w:sz w:val="28"/>
          <w:szCs w:val="28"/>
        </w:rPr>
        <w:t xml:space="preserve"> тыс. рублей.</w:t>
      </w:r>
    </w:p>
    <w:p w:rsidR="00C06D8A" w:rsidRDefault="00C06D8A" w:rsidP="00C06D8A">
      <w:pPr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C06D8A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8. Бюджетные ассигнования бюджета сельского поселения на 201</w:t>
      </w:r>
      <w:r w:rsidR="00503162">
        <w:rPr>
          <w:b/>
          <w:bCs/>
          <w:sz w:val="28"/>
          <w:szCs w:val="28"/>
        </w:rPr>
        <w:t>9 год и плановый период 2020 и 2021</w:t>
      </w:r>
      <w:r>
        <w:rPr>
          <w:b/>
          <w:bCs/>
          <w:sz w:val="28"/>
          <w:szCs w:val="28"/>
        </w:rPr>
        <w:t xml:space="preserve"> годов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общий объем бюджетных ассигнований на исполнение публичных нормативных обязательств на 201</w:t>
      </w:r>
      <w:r w:rsidR="00503162">
        <w:rPr>
          <w:rFonts w:ascii="Times New Roman CYR" w:hAnsi="Times New Roman CYR" w:cs="Times New Roman CYR"/>
          <w:sz w:val="28"/>
          <w:szCs w:val="28"/>
        </w:rPr>
        <w:t>9 год, на 2020 год и на 2021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503162">
        <w:rPr>
          <w:rFonts w:ascii="Times New Roman CYR" w:hAnsi="Times New Roman CYR" w:cs="Times New Roman CYR"/>
          <w:sz w:val="28"/>
          <w:szCs w:val="28"/>
        </w:rPr>
        <w:t>565,20000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</w:t>
      </w:r>
      <w:r w:rsidRPr="005C7315">
        <w:rPr>
          <w:rFonts w:ascii="Times New Roman CYR" w:hAnsi="Times New Roman CYR" w:cs="Times New Roman CYR"/>
          <w:sz w:val="28"/>
          <w:szCs w:val="28"/>
        </w:rPr>
        <w:t>ежегодно.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>2. Утвердить ведомственную структуру расходов бюджета сельского поселения на 201</w:t>
      </w:r>
      <w:r w:rsidR="00503162">
        <w:rPr>
          <w:rFonts w:ascii="Times New Roman CYR" w:hAnsi="Times New Roman CYR" w:cs="Times New Roman CYR"/>
          <w:sz w:val="28"/>
          <w:szCs w:val="28"/>
        </w:rPr>
        <w:t>9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 и н</w:t>
      </w:r>
      <w:r w:rsidR="00503162">
        <w:rPr>
          <w:rFonts w:ascii="Times New Roman CYR" w:hAnsi="Times New Roman CYR" w:cs="Times New Roman CYR"/>
          <w:sz w:val="28"/>
          <w:szCs w:val="28"/>
        </w:rPr>
        <w:t>а плановый период 2020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503162">
        <w:rPr>
          <w:rFonts w:ascii="Times New Roman CYR" w:hAnsi="Times New Roman CYR" w:cs="Times New Roman CYR"/>
          <w:sz w:val="28"/>
          <w:szCs w:val="28"/>
        </w:rPr>
        <w:t>1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</w:t>
      </w:r>
      <w:r w:rsidR="00503162">
        <w:rPr>
          <w:rFonts w:ascii="Times New Roman CYR" w:hAnsi="Times New Roman CYR" w:cs="Times New Roman CYR"/>
          <w:sz w:val="28"/>
          <w:szCs w:val="28"/>
        </w:rPr>
        <w:t>5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насто</w:t>
      </w:r>
      <w:r w:rsidRPr="005C7315">
        <w:rPr>
          <w:rFonts w:ascii="Times New Roman CYR" w:hAnsi="Times New Roman CYR" w:cs="Times New Roman CYR"/>
          <w:sz w:val="28"/>
          <w:szCs w:val="28"/>
        </w:rPr>
        <w:t>я</w:t>
      </w:r>
      <w:r w:rsidRPr="005C7315">
        <w:rPr>
          <w:rFonts w:ascii="Times New Roman CYR" w:hAnsi="Times New Roman CYR" w:cs="Times New Roman CYR"/>
          <w:sz w:val="28"/>
          <w:szCs w:val="28"/>
        </w:rPr>
        <w:t>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5C7315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="00A97370" w:rsidRPr="005C7315">
        <w:rPr>
          <w:sz w:val="28"/>
          <w:szCs w:val="28"/>
        </w:rPr>
        <w:t>Федорков</w:t>
      </w:r>
      <w:r w:rsidRPr="005C7315">
        <w:rPr>
          <w:sz w:val="28"/>
          <w:szCs w:val="28"/>
        </w:rPr>
        <w:t>ского</w:t>
      </w:r>
      <w:proofErr w:type="spellEnd"/>
      <w:r w:rsidRPr="005C7315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5C7315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5C7315">
        <w:rPr>
          <w:sz w:val="28"/>
          <w:szCs w:val="28"/>
        </w:rPr>
        <w:t xml:space="preserve"> на 201</w:t>
      </w:r>
      <w:r w:rsidR="00503162">
        <w:rPr>
          <w:sz w:val="28"/>
          <w:szCs w:val="28"/>
        </w:rPr>
        <w:t>9</w:t>
      </w:r>
      <w:r w:rsidRPr="005C7315">
        <w:rPr>
          <w:sz w:val="28"/>
          <w:szCs w:val="28"/>
        </w:rPr>
        <w:t xml:space="preserve"> год и на плановый пер</w:t>
      </w:r>
      <w:r w:rsidRPr="005C7315">
        <w:rPr>
          <w:sz w:val="28"/>
          <w:szCs w:val="28"/>
        </w:rPr>
        <w:t>и</w:t>
      </w:r>
      <w:r w:rsidR="00503162">
        <w:rPr>
          <w:sz w:val="28"/>
          <w:szCs w:val="28"/>
        </w:rPr>
        <w:t>од 2020</w:t>
      </w:r>
      <w:r w:rsidR="00E84845">
        <w:rPr>
          <w:sz w:val="28"/>
          <w:szCs w:val="28"/>
        </w:rPr>
        <w:t xml:space="preserve"> и 202</w:t>
      </w:r>
      <w:r w:rsidR="00503162">
        <w:rPr>
          <w:sz w:val="28"/>
          <w:szCs w:val="28"/>
        </w:rPr>
        <w:t>1</w:t>
      </w:r>
      <w:r w:rsidRPr="005C7315">
        <w:rPr>
          <w:sz w:val="28"/>
          <w:szCs w:val="28"/>
        </w:rPr>
        <w:t xml:space="preserve"> годов согласно приложению </w:t>
      </w:r>
      <w:r w:rsidR="00503162">
        <w:rPr>
          <w:sz w:val="28"/>
          <w:szCs w:val="28"/>
        </w:rPr>
        <w:t>6</w:t>
      </w:r>
      <w:r w:rsidRPr="005C7315">
        <w:rPr>
          <w:sz w:val="28"/>
          <w:szCs w:val="28"/>
        </w:rPr>
        <w:t xml:space="preserve"> к настоящему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5C7315">
        <w:rPr>
          <w:sz w:val="28"/>
          <w:szCs w:val="28"/>
        </w:rPr>
        <w:t>4. Утвердить распределение бюджетных ассигнований по целевым статьям (м</w:t>
      </w:r>
      <w:r w:rsidRPr="005C7315">
        <w:rPr>
          <w:sz w:val="28"/>
          <w:szCs w:val="28"/>
        </w:rPr>
        <w:t>у</w:t>
      </w:r>
      <w:r w:rsidRPr="005C7315">
        <w:rPr>
          <w:sz w:val="28"/>
          <w:szCs w:val="28"/>
        </w:rPr>
        <w:t xml:space="preserve">ниципальным программам </w:t>
      </w:r>
      <w:proofErr w:type="spellStart"/>
      <w:r w:rsidR="00A97370" w:rsidRPr="005C7315">
        <w:rPr>
          <w:sz w:val="28"/>
          <w:szCs w:val="28"/>
        </w:rPr>
        <w:t>Федорковского</w:t>
      </w:r>
      <w:proofErr w:type="spellEnd"/>
      <w:r w:rsidRPr="005C7315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5C7315">
        <w:rPr>
          <w:sz w:val="28"/>
          <w:szCs w:val="28"/>
        </w:rPr>
        <w:t>видов расходов классификации ра</w:t>
      </w:r>
      <w:r w:rsidRPr="005C7315">
        <w:rPr>
          <w:sz w:val="28"/>
          <w:szCs w:val="28"/>
        </w:rPr>
        <w:t>с</w:t>
      </w:r>
      <w:r w:rsidRPr="005C7315">
        <w:rPr>
          <w:sz w:val="28"/>
          <w:szCs w:val="28"/>
        </w:rPr>
        <w:t>ходов бюджета</w:t>
      </w:r>
      <w:proofErr w:type="gramEnd"/>
      <w:r w:rsidRPr="005C7315">
        <w:rPr>
          <w:sz w:val="28"/>
          <w:szCs w:val="28"/>
        </w:rPr>
        <w:t xml:space="preserve"> </w:t>
      </w:r>
      <w:proofErr w:type="spellStart"/>
      <w:r w:rsidR="00A97370" w:rsidRPr="005C7315">
        <w:rPr>
          <w:sz w:val="28"/>
          <w:szCs w:val="28"/>
        </w:rPr>
        <w:t>Федорковс</w:t>
      </w:r>
      <w:r w:rsidRPr="005C7315">
        <w:rPr>
          <w:sz w:val="28"/>
          <w:szCs w:val="28"/>
        </w:rPr>
        <w:t>кого</w:t>
      </w:r>
      <w:proofErr w:type="spellEnd"/>
      <w:r w:rsidRPr="005C7315">
        <w:rPr>
          <w:sz w:val="28"/>
          <w:szCs w:val="28"/>
        </w:rPr>
        <w:t xml:space="preserve"> сельского поселения на 201</w:t>
      </w:r>
      <w:r w:rsidR="00503162">
        <w:rPr>
          <w:sz w:val="28"/>
          <w:szCs w:val="28"/>
        </w:rPr>
        <w:t>9 год и на плановый период 2020</w:t>
      </w:r>
      <w:r w:rsidR="00E84845">
        <w:rPr>
          <w:sz w:val="28"/>
          <w:szCs w:val="28"/>
        </w:rPr>
        <w:t xml:space="preserve"> и 202</w:t>
      </w:r>
      <w:r w:rsidR="00503162">
        <w:rPr>
          <w:sz w:val="28"/>
          <w:szCs w:val="28"/>
        </w:rPr>
        <w:t>1</w:t>
      </w:r>
      <w:r w:rsidRPr="005C7315">
        <w:rPr>
          <w:sz w:val="28"/>
          <w:szCs w:val="28"/>
        </w:rPr>
        <w:t xml:space="preserve"> годов согласно приложению </w:t>
      </w:r>
      <w:r w:rsidR="00503162">
        <w:rPr>
          <w:sz w:val="28"/>
          <w:szCs w:val="28"/>
        </w:rPr>
        <w:t>7</w:t>
      </w:r>
      <w:r w:rsidRPr="005C7315">
        <w:rPr>
          <w:sz w:val="28"/>
          <w:szCs w:val="28"/>
        </w:rPr>
        <w:t xml:space="preserve"> к настоящему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 w:rsidRPr="005C7315">
        <w:rPr>
          <w:sz w:val="28"/>
          <w:szCs w:val="28"/>
        </w:rPr>
        <w:t>5. Утвердить объем бюджетных ассигнований муниципального</w:t>
      </w:r>
      <w:r w:rsidRPr="005C7315">
        <w:rPr>
          <w:color w:val="008000"/>
          <w:sz w:val="28"/>
          <w:szCs w:val="28"/>
        </w:rPr>
        <w:t xml:space="preserve"> </w:t>
      </w:r>
      <w:r w:rsidRPr="005C7315">
        <w:rPr>
          <w:sz w:val="28"/>
          <w:szCs w:val="28"/>
        </w:rPr>
        <w:t xml:space="preserve">дорожного фонда </w:t>
      </w:r>
      <w:proofErr w:type="spellStart"/>
      <w:r w:rsidR="00E84845">
        <w:rPr>
          <w:sz w:val="28"/>
          <w:szCs w:val="28"/>
        </w:rPr>
        <w:t>Федорковс</w:t>
      </w:r>
      <w:r w:rsidRPr="005C7315">
        <w:rPr>
          <w:sz w:val="28"/>
          <w:szCs w:val="28"/>
        </w:rPr>
        <w:t>кого</w:t>
      </w:r>
      <w:proofErr w:type="spellEnd"/>
      <w:r w:rsidRPr="005C7315">
        <w:rPr>
          <w:sz w:val="28"/>
          <w:szCs w:val="28"/>
        </w:rPr>
        <w:t xml:space="preserve"> сельского поселения на 201</w:t>
      </w:r>
      <w:r w:rsidR="00503162">
        <w:rPr>
          <w:sz w:val="28"/>
          <w:szCs w:val="28"/>
        </w:rPr>
        <w:t>9</w:t>
      </w:r>
      <w:r w:rsidRPr="005C7315"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 xml:space="preserve"> 2593,2000 тыс. рублей, на 2020</w:t>
      </w:r>
      <w:r w:rsidRPr="005C7315"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>3858,20000</w:t>
      </w:r>
      <w:r w:rsidR="003441EB">
        <w:rPr>
          <w:sz w:val="28"/>
          <w:szCs w:val="28"/>
        </w:rPr>
        <w:t xml:space="preserve"> тыс. рублей и на 202</w:t>
      </w:r>
      <w:r w:rsidR="00503162">
        <w:rPr>
          <w:sz w:val="28"/>
          <w:szCs w:val="28"/>
        </w:rPr>
        <w:t>1</w:t>
      </w:r>
      <w:r w:rsidRPr="005C7315"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>5043,50000</w:t>
      </w:r>
      <w:r w:rsidRPr="005C7315">
        <w:rPr>
          <w:sz w:val="28"/>
          <w:szCs w:val="28"/>
        </w:rPr>
        <w:t xml:space="preserve"> тыс. рублей.</w:t>
      </w:r>
    </w:p>
    <w:p w:rsidR="00C06D8A" w:rsidRPr="005C7315" w:rsidRDefault="00C06D8A" w:rsidP="00C06D8A">
      <w:pPr>
        <w:jc w:val="both"/>
        <w:rPr>
          <w:b/>
          <w:bCs/>
          <w:color w:val="FF0000"/>
          <w:sz w:val="28"/>
          <w:szCs w:val="28"/>
        </w:rPr>
      </w:pPr>
    </w:p>
    <w:p w:rsidR="00C06D8A" w:rsidRPr="005C7315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 w:rsidRPr="005C7315">
        <w:rPr>
          <w:b/>
          <w:bCs/>
          <w:sz w:val="28"/>
          <w:szCs w:val="28"/>
        </w:rPr>
        <w:t>Пункт 9. Межбюджетные трансферты, предоставляемые бюджету другим бюджетам бюджетной системы Российской Федерации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 xml:space="preserve">1. Утвердить объем </w:t>
      </w:r>
      <w:r w:rsidR="000E704A">
        <w:rPr>
          <w:rFonts w:ascii="Times New Roman CYR" w:hAnsi="Times New Roman CYR" w:cs="Times New Roman CYR"/>
          <w:sz w:val="28"/>
          <w:szCs w:val="28"/>
        </w:rPr>
        <w:t xml:space="preserve"> иных </w:t>
      </w:r>
      <w:r w:rsidRPr="005C7315">
        <w:rPr>
          <w:rFonts w:ascii="Times New Roman CYR" w:hAnsi="Times New Roman CYR" w:cs="Times New Roman CYR"/>
          <w:sz w:val="28"/>
          <w:szCs w:val="28"/>
        </w:rPr>
        <w:t>межбюджетных трансфертов бюджету муниципального района на 201</w:t>
      </w:r>
      <w:r w:rsidR="00A21B1D">
        <w:rPr>
          <w:rFonts w:ascii="Times New Roman CYR" w:hAnsi="Times New Roman CYR" w:cs="Times New Roman CYR"/>
          <w:sz w:val="28"/>
          <w:szCs w:val="28"/>
        </w:rPr>
        <w:t>9 год и на плановый период 2020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441EB">
        <w:rPr>
          <w:rFonts w:ascii="Times New Roman CYR" w:hAnsi="Times New Roman CYR" w:cs="Times New Roman CYR"/>
          <w:sz w:val="28"/>
          <w:szCs w:val="28"/>
        </w:rPr>
        <w:t>202</w:t>
      </w:r>
      <w:r w:rsidR="00A21B1D">
        <w:rPr>
          <w:rFonts w:ascii="Times New Roman CYR" w:hAnsi="Times New Roman CYR" w:cs="Times New Roman CYR"/>
          <w:sz w:val="28"/>
          <w:szCs w:val="28"/>
        </w:rPr>
        <w:t>1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0E704A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704A">
        <w:rPr>
          <w:sz w:val="28"/>
          <w:szCs w:val="28"/>
        </w:rPr>
        <w:t>сумме 501,89000 тыс. ру</w:t>
      </w:r>
      <w:r w:rsidR="000E704A">
        <w:rPr>
          <w:sz w:val="28"/>
          <w:szCs w:val="28"/>
        </w:rPr>
        <w:t>б</w:t>
      </w:r>
      <w:r w:rsidR="000E704A">
        <w:rPr>
          <w:sz w:val="28"/>
          <w:szCs w:val="28"/>
        </w:rPr>
        <w:t xml:space="preserve">лей ежегодно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 w:rsidR="00B054D1" w:rsidRPr="005C7315">
        <w:rPr>
          <w:rFonts w:ascii="Times New Roman CYR" w:hAnsi="Times New Roman CYR" w:cs="Times New Roman CYR"/>
          <w:sz w:val="28"/>
          <w:szCs w:val="28"/>
        </w:rPr>
        <w:t xml:space="preserve">приложению </w:t>
      </w:r>
      <w:r w:rsidR="00A21B1D">
        <w:rPr>
          <w:rFonts w:ascii="Times New Roman CYR" w:hAnsi="Times New Roman CYR" w:cs="Times New Roman CYR"/>
          <w:sz w:val="28"/>
          <w:szCs w:val="28"/>
        </w:rPr>
        <w:t>8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настоящему решению.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10. Расчет нормативных расходов на финансирование жилищно-коммунального хозяйства сельского поселения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Принять за основу расчет нормативных расходов на финансирование жилищно-коммунального хозяйства Новгородской области, учитываемый при формировании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зателей межбюджетных отношений с бюджетами поселений, на 201</w:t>
      </w:r>
      <w:r w:rsidR="00956070">
        <w:rPr>
          <w:sz w:val="28"/>
          <w:szCs w:val="28"/>
        </w:rPr>
        <w:t>9-202</w:t>
      </w:r>
      <w:r w:rsidR="00A21B1D">
        <w:rPr>
          <w:sz w:val="28"/>
          <w:szCs w:val="28"/>
        </w:rPr>
        <w:t>1</w:t>
      </w:r>
      <w:r>
        <w:rPr>
          <w:sz w:val="28"/>
          <w:szCs w:val="28"/>
        </w:rPr>
        <w:t xml:space="preserve"> годы согласно приложению 1</w:t>
      </w:r>
      <w:r w:rsidR="00A21B1D">
        <w:rPr>
          <w:sz w:val="28"/>
          <w:szCs w:val="28"/>
        </w:rPr>
        <w:t>9</w:t>
      </w:r>
      <w:r>
        <w:rPr>
          <w:sz w:val="28"/>
          <w:szCs w:val="28"/>
        </w:rPr>
        <w:t xml:space="preserve"> к областному закону «Об областном бюджете на 201</w:t>
      </w:r>
      <w:r w:rsidR="00A21B1D">
        <w:rPr>
          <w:sz w:val="28"/>
          <w:szCs w:val="28"/>
        </w:rPr>
        <w:t>9 год и на плановый период 2020</w:t>
      </w:r>
      <w:r w:rsidR="00956070">
        <w:rPr>
          <w:sz w:val="28"/>
          <w:szCs w:val="28"/>
        </w:rPr>
        <w:t xml:space="preserve"> и 202</w:t>
      </w:r>
      <w:r w:rsidR="00A21B1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годов».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Принять за основу нормативные расходы на организацию благоустройства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сельского поселения (включая озеленение территории, установку указателей с </w:t>
      </w:r>
      <w:r>
        <w:rPr>
          <w:spacing w:val="-2"/>
          <w:sz w:val="28"/>
          <w:szCs w:val="28"/>
        </w:rPr>
        <w:t>наименованиями</w:t>
      </w:r>
      <w:r>
        <w:rPr>
          <w:sz w:val="28"/>
          <w:szCs w:val="28"/>
        </w:rPr>
        <w:t xml:space="preserve"> улиц и номерами домов, размещение и содержание малых архитекту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форм), организацию сбора и вывоза бытовых отходов и мусора, а также организацию ритуальных услуг и содержания мест захоронения на 201</w:t>
      </w:r>
      <w:r w:rsidR="00A21B1D">
        <w:rPr>
          <w:sz w:val="28"/>
          <w:szCs w:val="28"/>
        </w:rPr>
        <w:t>9 год и на плановый период 2020</w:t>
      </w:r>
      <w:r w:rsidR="00956070">
        <w:rPr>
          <w:sz w:val="28"/>
          <w:szCs w:val="28"/>
        </w:rPr>
        <w:t xml:space="preserve"> и 202</w:t>
      </w:r>
      <w:r w:rsidR="00A21B1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годов, </w:t>
      </w:r>
      <w:r w:rsidR="00A21B1D">
        <w:rPr>
          <w:sz w:val="28"/>
          <w:szCs w:val="28"/>
        </w:rPr>
        <w:t xml:space="preserve">согласно </w:t>
      </w:r>
      <w:r w:rsidR="00EF511F" w:rsidRPr="00EF511F">
        <w:rPr>
          <w:sz w:val="28"/>
          <w:szCs w:val="28"/>
        </w:rPr>
        <w:t>приложению 12</w:t>
      </w:r>
      <w:r w:rsidRPr="00EF511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Думы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пального района «О бюджете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муниципального района на 201</w:t>
      </w:r>
      <w:r w:rsidR="00A21B1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</w:t>
      </w:r>
      <w:r w:rsidR="00A21B1D">
        <w:rPr>
          <w:sz w:val="28"/>
          <w:szCs w:val="28"/>
        </w:rPr>
        <w:t>риод 2020</w:t>
      </w:r>
      <w:r w:rsidR="00956070">
        <w:rPr>
          <w:sz w:val="28"/>
          <w:szCs w:val="28"/>
        </w:rPr>
        <w:t xml:space="preserve"> и 202</w:t>
      </w:r>
      <w:r w:rsidR="00A21B1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годов».</w:t>
      </w:r>
    </w:p>
    <w:p w:rsidR="00C06D8A" w:rsidRDefault="00C06D8A" w:rsidP="00C06D8A">
      <w:pPr>
        <w:adjustRightInd w:val="0"/>
        <w:ind w:firstLine="900"/>
        <w:jc w:val="both"/>
        <w:rPr>
          <w:b/>
          <w:bCs/>
          <w:sz w:val="28"/>
          <w:szCs w:val="28"/>
        </w:rPr>
      </w:pPr>
    </w:p>
    <w:p w:rsidR="00C06D8A" w:rsidRDefault="00C06D8A" w:rsidP="00C06D8A">
      <w:pPr>
        <w:adjustRightInd w:val="0"/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11. Размер суточных для расчета средств по возмещению расходов, связанных со служебными командировками на территории Российской Федерации</w:t>
      </w:r>
    </w:p>
    <w:p w:rsidR="00C06D8A" w:rsidRDefault="00C06D8A" w:rsidP="00225800">
      <w:pPr>
        <w:adjustRightInd w:val="0"/>
        <w:ind w:firstLine="90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Установить в 201</w:t>
      </w:r>
      <w:r w:rsidR="00A21B1D">
        <w:rPr>
          <w:sz w:val="28"/>
          <w:szCs w:val="28"/>
        </w:rPr>
        <w:t>9</w:t>
      </w:r>
      <w:r w:rsidR="00956070">
        <w:rPr>
          <w:sz w:val="28"/>
          <w:szCs w:val="28"/>
        </w:rPr>
        <w:t>-202</w:t>
      </w:r>
      <w:r w:rsidR="00A21B1D">
        <w:rPr>
          <w:sz w:val="28"/>
          <w:szCs w:val="28"/>
        </w:rPr>
        <w:t>1</w:t>
      </w:r>
      <w:r>
        <w:rPr>
          <w:sz w:val="28"/>
          <w:szCs w:val="28"/>
        </w:rPr>
        <w:t xml:space="preserve"> годах для расчета средств по возмещению расходов,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занных со служебными командировками на территории Российской Федерации, органам местного самоуправления сельского поселения, финансируемым за счет средств бюджета сельского поселения, размер суточных за каждый день нахождения в служебной кома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дировке в городах Москва и Санкт-Петербург  - 700 рублей, в прочих населенных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 – 350 рублей.</w:t>
      </w:r>
      <w:proofErr w:type="gramEnd"/>
    </w:p>
    <w:p w:rsidR="00C06D8A" w:rsidRDefault="00C06D8A" w:rsidP="00C06D8A">
      <w:pPr>
        <w:jc w:val="both"/>
        <w:rPr>
          <w:color w:val="FF000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12. Муниципальные внутренние заимствования сельского поселения, муниципальный внутренний долг сельского поселения и предоставление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пальных гарантий сельского поселения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Утвердить верхний предел  муниципального внутреннего долга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1 января 201</w:t>
      </w:r>
      <w:r w:rsidR="00A21B1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с</w:t>
      </w:r>
      <w:r w:rsidR="00A21B1D">
        <w:rPr>
          <w:sz w:val="28"/>
          <w:szCs w:val="28"/>
        </w:rPr>
        <w:t>умме 0,0</w:t>
      </w:r>
      <w:r w:rsidR="00BF79C6">
        <w:rPr>
          <w:sz w:val="28"/>
          <w:szCs w:val="28"/>
        </w:rPr>
        <w:t>0000</w:t>
      </w:r>
      <w:r w:rsidR="00A21B1D">
        <w:rPr>
          <w:sz w:val="28"/>
          <w:szCs w:val="28"/>
        </w:rPr>
        <w:t xml:space="preserve"> рублей, на 1 января 2020</w:t>
      </w:r>
      <w:r>
        <w:rPr>
          <w:sz w:val="28"/>
          <w:szCs w:val="28"/>
        </w:rPr>
        <w:t xml:space="preserve"> года в сумме 0,0</w:t>
      </w:r>
      <w:r w:rsidR="00BF79C6">
        <w:rPr>
          <w:sz w:val="28"/>
          <w:szCs w:val="28"/>
        </w:rPr>
        <w:t>0000</w:t>
      </w:r>
      <w:r>
        <w:rPr>
          <w:sz w:val="28"/>
          <w:szCs w:val="28"/>
        </w:rPr>
        <w:t xml:space="preserve"> рублей, на 1 января 202</w:t>
      </w:r>
      <w:r w:rsidR="00A21B1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0,0</w:t>
      </w:r>
      <w:r w:rsidR="00BF79C6">
        <w:rPr>
          <w:sz w:val="28"/>
          <w:szCs w:val="28"/>
        </w:rPr>
        <w:t>0000</w:t>
      </w:r>
      <w:r>
        <w:rPr>
          <w:sz w:val="28"/>
          <w:szCs w:val="28"/>
        </w:rPr>
        <w:t xml:space="preserve"> рублей.</w:t>
      </w:r>
      <w:r>
        <w:rPr>
          <w:b/>
          <w:bCs/>
          <w:sz w:val="28"/>
          <w:szCs w:val="28"/>
        </w:rPr>
        <w:t xml:space="preserve"> 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Утвердить предельный объем расходов на обслуживание муниципального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реннего долга сельского поселения на 201</w:t>
      </w:r>
      <w:r w:rsidR="00A21B1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21B1D">
        <w:rPr>
          <w:sz w:val="28"/>
          <w:szCs w:val="28"/>
        </w:rPr>
        <w:t>год в размере 0,0</w:t>
      </w:r>
      <w:r w:rsidR="00BF79C6">
        <w:rPr>
          <w:sz w:val="28"/>
          <w:szCs w:val="28"/>
        </w:rPr>
        <w:t>0000</w:t>
      </w:r>
      <w:r w:rsidR="00A21B1D">
        <w:rPr>
          <w:sz w:val="28"/>
          <w:szCs w:val="28"/>
        </w:rPr>
        <w:t xml:space="preserve"> рублей, на 2020</w:t>
      </w:r>
      <w:r>
        <w:rPr>
          <w:sz w:val="28"/>
          <w:szCs w:val="28"/>
        </w:rPr>
        <w:t xml:space="preserve"> год в разме</w:t>
      </w:r>
      <w:r w:rsidR="00956070">
        <w:rPr>
          <w:sz w:val="28"/>
          <w:szCs w:val="28"/>
        </w:rPr>
        <w:t>ре 0,0</w:t>
      </w:r>
      <w:r w:rsidR="00BF79C6">
        <w:rPr>
          <w:sz w:val="28"/>
          <w:szCs w:val="28"/>
        </w:rPr>
        <w:t>0000</w:t>
      </w:r>
      <w:r w:rsidR="00956070">
        <w:rPr>
          <w:sz w:val="28"/>
          <w:szCs w:val="28"/>
        </w:rPr>
        <w:t xml:space="preserve"> рублей, на 202</w:t>
      </w:r>
      <w:r w:rsidR="00A21B1D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размере 0,0</w:t>
      </w:r>
      <w:r w:rsidR="00BF79C6">
        <w:rPr>
          <w:sz w:val="28"/>
          <w:szCs w:val="28"/>
        </w:rPr>
        <w:t>0000</w:t>
      </w:r>
      <w:r>
        <w:rPr>
          <w:sz w:val="28"/>
          <w:szCs w:val="28"/>
        </w:rPr>
        <w:t>рублей.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верхний предел муниципального внутреннего долга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по муниципальным гарантиям сельского поселения в валюте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на 1 января 201</w:t>
      </w:r>
      <w:r w:rsidR="00A21B1D">
        <w:rPr>
          <w:sz w:val="28"/>
          <w:szCs w:val="28"/>
        </w:rPr>
        <w:t>9</w:t>
      </w:r>
      <w:r w:rsidR="00BF79C6">
        <w:rPr>
          <w:sz w:val="28"/>
          <w:szCs w:val="28"/>
        </w:rPr>
        <w:t xml:space="preserve"> года в сумме  0,00000</w:t>
      </w:r>
      <w:r>
        <w:rPr>
          <w:sz w:val="28"/>
          <w:szCs w:val="28"/>
        </w:rPr>
        <w:t>рублей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1 января 20</w:t>
      </w:r>
      <w:r w:rsidR="00A21B1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сумме 0,0</w:t>
      </w:r>
      <w:r w:rsidR="00BF79C6">
        <w:rPr>
          <w:sz w:val="28"/>
          <w:szCs w:val="28"/>
        </w:rPr>
        <w:t>0000</w:t>
      </w:r>
      <w:r>
        <w:rPr>
          <w:sz w:val="28"/>
          <w:szCs w:val="28"/>
        </w:rPr>
        <w:t xml:space="preserve"> рублей и на 1 января 202</w:t>
      </w:r>
      <w:r w:rsidR="00A21B1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0,0</w:t>
      </w:r>
      <w:r w:rsidR="00BF79C6">
        <w:rPr>
          <w:sz w:val="28"/>
          <w:szCs w:val="28"/>
        </w:rPr>
        <w:t>0000</w:t>
      </w:r>
      <w:r>
        <w:rPr>
          <w:sz w:val="28"/>
          <w:szCs w:val="28"/>
        </w:rPr>
        <w:t xml:space="preserve"> рублей.</w:t>
      </w:r>
    </w:p>
    <w:p w:rsidR="00BF79C6" w:rsidRDefault="00BF79C6" w:rsidP="00C06D8A">
      <w:pPr>
        <w:ind w:firstLine="900"/>
        <w:jc w:val="both"/>
        <w:rPr>
          <w:b/>
          <w:sz w:val="28"/>
          <w:szCs w:val="28"/>
        </w:rPr>
      </w:pPr>
      <w:r w:rsidRPr="00BF79C6">
        <w:rPr>
          <w:b/>
          <w:sz w:val="28"/>
          <w:szCs w:val="28"/>
        </w:rPr>
        <w:t>Пункт 14. Размер единовременной компенсационной выплаты на лечение (оздоровление)</w:t>
      </w:r>
    </w:p>
    <w:p w:rsidR="00BF79C6" w:rsidRDefault="00BF79C6" w:rsidP="00C06D8A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Установить на 2019-2021 годы размер единовременной компенсационной выплаты не лечение (оздоровление)  Главе сельского поселения, муниципальным служащим Администрации </w:t>
      </w:r>
      <w:proofErr w:type="spellStart"/>
      <w:r>
        <w:rPr>
          <w:b/>
          <w:sz w:val="28"/>
          <w:szCs w:val="28"/>
        </w:rPr>
        <w:t>Федорковского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сельскогопоселения</w:t>
      </w:r>
      <w:proofErr w:type="spellEnd"/>
      <w:r>
        <w:rPr>
          <w:b/>
          <w:sz w:val="28"/>
          <w:szCs w:val="28"/>
        </w:rPr>
        <w:t xml:space="preserve"> в сумме 40100,000000</w:t>
      </w:r>
      <w:bookmarkStart w:id="0" w:name="_GoBack"/>
      <w:bookmarkEnd w:id="0"/>
      <w:r>
        <w:rPr>
          <w:b/>
          <w:sz w:val="28"/>
          <w:szCs w:val="28"/>
        </w:rPr>
        <w:t xml:space="preserve"> рублей </w:t>
      </w:r>
    </w:p>
    <w:p w:rsidR="000E704A" w:rsidRDefault="000E704A" w:rsidP="000E704A">
      <w:pPr>
        <w:widowControl w:val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13. Дополнительные основания для внесения изменений в сводную бюджетную роспись сельского поселения</w:t>
      </w:r>
    </w:p>
    <w:p w:rsidR="000E704A" w:rsidRDefault="000E704A" w:rsidP="000E704A">
      <w:pPr>
        <w:keepNext/>
        <w:tabs>
          <w:tab w:val="left" w:pos="490"/>
          <w:tab w:val="left" w:pos="2340"/>
          <w:tab w:val="left" w:pos="3060"/>
        </w:tabs>
        <w:autoSpaceDE/>
        <w:spacing w:line="240" w:lineRule="exact"/>
        <w:ind w:left="1985" w:hanging="127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  Установить, что в соответствии с решениями</w:t>
      </w:r>
      <w:r>
        <w:rPr>
          <w:sz w:val="28"/>
          <w:szCs w:val="28"/>
        </w:rPr>
        <w:t xml:space="preserve"> Главы сельского поселения </w:t>
      </w:r>
      <w:r w:rsidRPr="006159EB">
        <w:rPr>
          <w:sz w:val="28"/>
          <w:szCs w:val="28"/>
        </w:rPr>
        <w:t xml:space="preserve"> дополнител</w:t>
      </w:r>
      <w:r w:rsidRPr="006159EB">
        <w:rPr>
          <w:sz w:val="28"/>
          <w:szCs w:val="28"/>
        </w:rPr>
        <w:t>ь</w:t>
      </w:r>
      <w:r w:rsidRPr="006159EB">
        <w:rPr>
          <w:sz w:val="28"/>
          <w:szCs w:val="28"/>
        </w:rPr>
        <w:t xml:space="preserve">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</w:t>
      </w:r>
      <w:r w:rsidRPr="006159EB">
        <w:rPr>
          <w:sz w:val="28"/>
          <w:szCs w:val="28"/>
        </w:rPr>
        <w:t xml:space="preserve"> поселения без внесения изменений в настоящее решение по следующим основаниям: 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1) приведение </w:t>
      </w:r>
      <w:proofErr w:type="gramStart"/>
      <w:r w:rsidRPr="006159EB">
        <w:rPr>
          <w:sz w:val="28"/>
          <w:szCs w:val="28"/>
        </w:rPr>
        <w:t xml:space="preserve">кодов бюджетной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</w:t>
      </w:r>
      <w:proofErr w:type="gramEnd"/>
      <w:r w:rsidRPr="006159EB">
        <w:rPr>
          <w:sz w:val="28"/>
          <w:szCs w:val="28"/>
        </w:rPr>
        <w:t xml:space="preserve"> и источников внутреннего финансирования дефицита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 в с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ответствие с бюджетной классификацией Российской Федерации; 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2) перераспределение бюджетных ассигнований между подгруппами </w:t>
      </w:r>
      <w:proofErr w:type="gramStart"/>
      <w:r w:rsidRPr="006159EB">
        <w:rPr>
          <w:sz w:val="28"/>
          <w:szCs w:val="28"/>
        </w:rPr>
        <w:t>вида расходов кла</w:t>
      </w:r>
      <w:r w:rsidRPr="006159EB">
        <w:rPr>
          <w:sz w:val="28"/>
          <w:szCs w:val="28"/>
        </w:rPr>
        <w:t>с</w:t>
      </w:r>
      <w:r w:rsidRPr="006159EB">
        <w:rPr>
          <w:sz w:val="28"/>
          <w:szCs w:val="28"/>
        </w:rPr>
        <w:t xml:space="preserve">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</w:t>
      </w:r>
      <w:proofErr w:type="gramEnd"/>
      <w:r w:rsidRPr="006159EB">
        <w:rPr>
          <w:sz w:val="28"/>
          <w:szCs w:val="28"/>
        </w:rPr>
        <w:t xml:space="preserve"> в пределах общего объема бюдже</w:t>
      </w:r>
      <w:r w:rsidRPr="006159EB">
        <w:rPr>
          <w:sz w:val="28"/>
          <w:szCs w:val="28"/>
        </w:rPr>
        <w:t>т</w:t>
      </w:r>
      <w:r w:rsidRPr="006159EB">
        <w:rPr>
          <w:sz w:val="28"/>
          <w:szCs w:val="28"/>
        </w:rPr>
        <w:t xml:space="preserve">ных ассигнований, предусмотренных главному распорядителю средств бюджета </w:t>
      </w:r>
      <w:r>
        <w:rPr>
          <w:sz w:val="28"/>
          <w:szCs w:val="28"/>
        </w:rPr>
        <w:t>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</w:t>
      </w:r>
      <w:r w:rsidRPr="006159EB">
        <w:rPr>
          <w:sz w:val="28"/>
          <w:szCs w:val="28"/>
        </w:rPr>
        <w:t xml:space="preserve"> поселения по соответствующей целевой статье (муниципальной программе </w:t>
      </w:r>
      <w:proofErr w:type="spellStart"/>
      <w:r>
        <w:rPr>
          <w:sz w:val="28"/>
          <w:szCs w:val="28"/>
        </w:rPr>
        <w:t>Федорко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непрограммному направлению деятельности) и группе вида расходов классификации расходов бюджета </w:t>
      </w:r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поселения;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3)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</w:t>
      </w:r>
      <w:r>
        <w:rPr>
          <w:sz w:val="28"/>
          <w:szCs w:val="28"/>
        </w:rPr>
        <w:t xml:space="preserve">грамм 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в связи с внесением и</w:t>
      </w:r>
      <w:r w:rsidRPr="006159EB">
        <w:rPr>
          <w:sz w:val="28"/>
          <w:szCs w:val="28"/>
        </w:rPr>
        <w:t>з</w:t>
      </w:r>
      <w:r w:rsidRPr="006159EB">
        <w:rPr>
          <w:sz w:val="28"/>
          <w:szCs w:val="28"/>
        </w:rPr>
        <w:t xml:space="preserve">менений в муниципальные программы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поселения, если такие изменения не связаны с определением видов и объемов межбюджетных трансфертов;</w:t>
      </w:r>
      <w:r>
        <w:rPr>
          <w:sz w:val="28"/>
          <w:szCs w:val="28"/>
        </w:rPr>
        <w:t xml:space="preserve"> 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</w:t>
      </w:r>
      <w:proofErr w:type="gramStart"/>
      <w:r w:rsidRPr="006159EB">
        <w:rPr>
          <w:sz w:val="28"/>
          <w:szCs w:val="28"/>
        </w:rPr>
        <w:t>4) перераспределение бюджетных ассигнований, в том числе в случае образования эк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номии, между разделами, подразделами, целевыми статьями (муниципальными програ</w:t>
      </w:r>
      <w:r w:rsidRPr="006159EB">
        <w:rPr>
          <w:sz w:val="28"/>
          <w:szCs w:val="28"/>
        </w:rPr>
        <w:t>м</w:t>
      </w:r>
      <w:r>
        <w:rPr>
          <w:sz w:val="28"/>
          <w:szCs w:val="28"/>
        </w:rPr>
        <w:t xml:space="preserve">мами  </w:t>
      </w:r>
      <w:proofErr w:type="spellStart"/>
      <w:r>
        <w:rPr>
          <w:sz w:val="28"/>
          <w:szCs w:val="28"/>
        </w:rPr>
        <w:t>Федорковского</w:t>
      </w:r>
      <w:proofErr w:type="spellEnd"/>
      <w:r w:rsidRPr="006159EB">
        <w:rPr>
          <w:sz w:val="28"/>
          <w:szCs w:val="28"/>
        </w:rPr>
        <w:t xml:space="preserve"> поселения и непрограммными направлениями деятельности), гру</w:t>
      </w:r>
      <w:r w:rsidRPr="006159EB">
        <w:rPr>
          <w:sz w:val="28"/>
          <w:szCs w:val="28"/>
        </w:rPr>
        <w:t>п</w:t>
      </w:r>
      <w:r w:rsidRPr="006159EB">
        <w:rPr>
          <w:sz w:val="28"/>
          <w:szCs w:val="28"/>
        </w:rPr>
        <w:t xml:space="preserve">пами и подгруппами видов расходов классификации расходов бюджета </w:t>
      </w:r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>ления в пределах объема бюджетных ассигнований, предусмотренных главному распор</w:t>
      </w:r>
      <w:r w:rsidRPr="006159EB">
        <w:rPr>
          <w:sz w:val="28"/>
          <w:szCs w:val="28"/>
        </w:rPr>
        <w:t>я</w:t>
      </w:r>
      <w:r w:rsidRPr="006159EB">
        <w:rPr>
          <w:sz w:val="28"/>
          <w:szCs w:val="28"/>
        </w:rPr>
        <w:t>дителю средств бюд</w:t>
      </w:r>
      <w:r>
        <w:rPr>
          <w:sz w:val="28"/>
          <w:szCs w:val="28"/>
        </w:rPr>
        <w:t>жета  сельского</w:t>
      </w:r>
      <w:r w:rsidRPr="006159EB">
        <w:rPr>
          <w:sz w:val="28"/>
          <w:szCs w:val="28"/>
        </w:rPr>
        <w:t xml:space="preserve"> поселения на реализацию программного и непр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граммного направления деятельности; </w:t>
      </w:r>
      <w:proofErr w:type="gramEnd"/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>5) перераспределение бюджетных ассигнований между разделами, подразделами, цел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выми статьями, (муниципальными программами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непрограммными направлениями деятельности), группами и подгруппами видами расх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дов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 предусмо</w:t>
      </w:r>
      <w:r w:rsidRPr="006159EB">
        <w:rPr>
          <w:sz w:val="28"/>
          <w:szCs w:val="28"/>
        </w:rPr>
        <w:t>т</w:t>
      </w:r>
      <w:r w:rsidRPr="006159EB">
        <w:rPr>
          <w:sz w:val="28"/>
          <w:szCs w:val="28"/>
        </w:rPr>
        <w:t xml:space="preserve">ренных главному распорядителю средств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 для выполнения условий в целях получения субсидий из областного бюджета; </w:t>
      </w:r>
      <w:proofErr w:type="gramEnd"/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 xml:space="preserve">6) увеличение бюджетных ассигнований по отдельным разделам, подразделам, целевым статьям (муниципальными программами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граммными направлениями деятельности), группам и подгруппам видов расходов кла</w:t>
      </w:r>
      <w:r w:rsidRPr="006159EB">
        <w:rPr>
          <w:sz w:val="28"/>
          <w:szCs w:val="28"/>
        </w:rPr>
        <w:t>с</w:t>
      </w:r>
      <w:r w:rsidRPr="006159EB">
        <w:rPr>
          <w:sz w:val="28"/>
          <w:szCs w:val="28"/>
        </w:rPr>
        <w:t>сификации расходов бюдже</w:t>
      </w:r>
      <w:r>
        <w:rPr>
          <w:sz w:val="28"/>
          <w:szCs w:val="28"/>
        </w:rPr>
        <w:t>та сельского</w:t>
      </w:r>
      <w:r w:rsidRPr="006159EB">
        <w:rPr>
          <w:sz w:val="28"/>
          <w:szCs w:val="28"/>
        </w:rPr>
        <w:t xml:space="preserve">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</w:t>
      </w:r>
      <w:r>
        <w:rPr>
          <w:sz w:val="28"/>
          <w:szCs w:val="28"/>
        </w:rPr>
        <w:t>жета  сельского</w:t>
      </w:r>
      <w:r w:rsidRPr="006159EB">
        <w:rPr>
          <w:sz w:val="28"/>
          <w:szCs w:val="28"/>
        </w:rPr>
        <w:t xml:space="preserve"> поселения на оказание муниципальных услуг при условии, что</w:t>
      </w:r>
      <w:proofErr w:type="gramEnd"/>
      <w:r w:rsidRPr="006159EB">
        <w:rPr>
          <w:sz w:val="28"/>
          <w:szCs w:val="28"/>
        </w:rPr>
        <w:t xml:space="preserve"> увеличение бюджетных ассигнований по соответствующему виду расходов не превышает 10 проце</w:t>
      </w:r>
      <w:r w:rsidRPr="006159EB">
        <w:rPr>
          <w:sz w:val="28"/>
          <w:szCs w:val="28"/>
        </w:rPr>
        <w:t>н</w:t>
      </w:r>
      <w:r w:rsidRPr="006159EB">
        <w:rPr>
          <w:sz w:val="28"/>
          <w:szCs w:val="28"/>
        </w:rPr>
        <w:t xml:space="preserve">тов; 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>7) поступление лимитов бюджетных обязательств на открытые в Управлении Федерал</w:t>
      </w:r>
      <w:r w:rsidRPr="006159EB">
        <w:rPr>
          <w:sz w:val="28"/>
          <w:szCs w:val="28"/>
        </w:rPr>
        <w:t>ь</w:t>
      </w:r>
      <w:r w:rsidRPr="006159EB">
        <w:rPr>
          <w:sz w:val="28"/>
          <w:szCs w:val="28"/>
        </w:rPr>
        <w:t>ного казначейства по Новгородской области лицевые счета для учета операций по пер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>данным полномочиям получателя средств областного бюджета по пере</w:t>
      </w:r>
      <w:r>
        <w:rPr>
          <w:sz w:val="28"/>
          <w:szCs w:val="28"/>
        </w:rPr>
        <w:t>числению 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 сельского</w:t>
      </w:r>
      <w:r w:rsidRPr="006159EB">
        <w:rPr>
          <w:sz w:val="28"/>
          <w:szCs w:val="28"/>
        </w:rPr>
        <w:t xml:space="preserve"> поселения межбюджетных трансфертов, сверх объемов соответствующих безвозмездных поступлений бюджета городского поселения, утвержденных настоящим решением; </w:t>
      </w:r>
      <w:proofErr w:type="gramEnd"/>
    </w:p>
    <w:p w:rsidR="000E704A" w:rsidRDefault="000E704A" w:rsidP="000E704A">
      <w:pPr>
        <w:widowControl w:val="0"/>
        <w:adjustRightInd w:val="0"/>
        <w:jc w:val="both"/>
        <w:rPr>
          <w:b/>
          <w:bCs/>
          <w:sz w:val="28"/>
          <w:szCs w:val="28"/>
        </w:rPr>
      </w:pPr>
      <w:r w:rsidRPr="006159EB">
        <w:rPr>
          <w:sz w:val="28"/>
          <w:szCs w:val="28"/>
        </w:rPr>
        <w:t xml:space="preserve">8) направление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Федорко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поселения, не использованных в отчетном финансовом году на увелич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ние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</w:t>
      </w:r>
      <w:r w:rsidRPr="006159EB">
        <w:rPr>
          <w:sz w:val="28"/>
          <w:szCs w:val="28"/>
        </w:rPr>
        <w:t xml:space="preserve"> поселения в соответствии со статьей 96 и пунктом 5 статьи 179.4 </w:t>
      </w:r>
      <w:r>
        <w:rPr>
          <w:sz w:val="28"/>
          <w:szCs w:val="28"/>
        </w:rPr>
        <w:t xml:space="preserve">  </w:t>
      </w:r>
    </w:p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1</w:t>
      </w:r>
      <w:r w:rsidR="000E704A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Вступление в силу настоящего решения о бюджете сельского пос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ления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Настоящее решение вступает в силу с 1 января 201</w:t>
      </w:r>
      <w:r w:rsidR="00A21B1D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1</w:t>
      </w:r>
      <w:r w:rsidR="000E704A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публиковать настоящее решение в </w:t>
      </w:r>
      <w:r w:rsidR="0082499B">
        <w:rPr>
          <w:sz w:val="28"/>
          <w:szCs w:val="28"/>
        </w:rPr>
        <w:t>периодическом печатном издании «</w:t>
      </w:r>
      <w:proofErr w:type="spellStart"/>
      <w:r w:rsidR="0082499B">
        <w:rPr>
          <w:sz w:val="28"/>
          <w:szCs w:val="28"/>
        </w:rPr>
        <w:t>Федорковский</w:t>
      </w:r>
      <w:proofErr w:type="spellEnd"/>
      <w:r w:rsidR="0082499B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="0082499B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="0082499B">
        <w:rPr>
          <w:sz w:val="28"/>
          <w:szCs w:val="28"/>
        </w:rPr>
        <w:t>Федорко</w:t>
      </w:r>
      <w:r w:rsidR="0082499B">
        <w:rPr>
          <w:sz w:val="28"/>
          <w:szCs w:val="28"/>
        </w:rPr>
        <w:t>в</w:t>
      </w:r>
      <w:r w:rsidR="0082499B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2499B">
        <w:rPr>
          <w:sz w:val="28"/>
          <w:szCs w:val="28"/>
        </w:rPr>
        <w:t xml:space="preserve"> и в информационно-телекоммуникационной сети «Интернет»</w:t>
      </w:r>
    </w:p>
    <w:p w:rsidR="005451CE" w:rsidRDefault="009D1864" w:rsidP="009D1864">
      <w:pPr>
        <w:widowControl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8"/>
        <w:gridCol w:w="9748"/>
      </w:tblGrid>
      <w:tr w:rsidR="009D1864">
        <w:trPr>
          <w:trHeight w:val="247"/>
        </w:trPr>
        <w:tc>
          <w:tcPr>
            <w:tcW w:w="9748" w:type="dxa"/>
          </w:tcPr>
          <w:p w:rsidR="009D1864" w:rsidRDefault="005451CE" w:rsidP="000E704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Глава сельского </w:t>
            </w:r>
            <w:r w:rsidRPr="005451C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посе</w:t>
            </w:r>
            <w:r w:rsidRPr="005451CE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ления </w:t>
            </w:r>
            <w:r w:rsidR="009D1864" w:rsidRPr="005451CE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5451CE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</w:t>
            </w:r>
            <w:proofErr w:type="spellStart"/>
            <w:r w:rsidRPr="005451CE">
              <w:rPr>
                <w:rFonts w:ascii="Times New Roman CYR" w:hAnsi="Times New Roman CYR" w:cs="Times New Roman CYR"/>
                <w:b/>
                <w:sz w:val="28"/>
                <w:szCs w:val="28"/>
              </w:rPr>
              <w:t>Н.А.Иванов</w:t>
            </w:r>
            <w:proofErr w:type="spellEnd"/>
            <w:r w:rsidR="009D1864" w:rsidRPr="005451CE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9748" w:type="dxa"/>
          </w:tcPr>
          <w:p w:rsidR="009D1864" w:rsidRDefault="009D186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06D8A" w:rsidRDefault="00C06D8A" w:rsidP="009D1864">
      <w:pPr>
        <w:tabs>
          <w:tab w:val="left" w:pos="1020"/>
        </w:tabs>
        <w:jc w:val="both"/>
        <w:outlineLvl w:val="0"/>
        <w:rPr>
          <w:b/>
          <w:bCs/>
          <w:sz w:val="28"/>
          <w:szCs w:val="28"/>
        </w:rPr>
      </w:pPr>
    </w:p>
    <w:sectPr w:rsidR="00C06D8A" w:rsidSect="00420912">
      <w:pgSz w:w="12240" w:h="15840"/>
      <w:pgMar w:top="567" w:right="301" w:bottom="851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2E44"/>
    <w:rsid w:val="000A015D"/>
    <w:rsid w:val="000A0C9E"/>
    <w:rsid w:val="000A1D40"/>
    <w:rsid w:val="000A3CCD"/>
    <w:rsid w:val="000B2385"/>
    <w:rsid w:val="000E231E"/>
    <w:rsid w:val="000E2BF8"/>
    <w:rsid w:val="000E704A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66BB"/>
    <w:rsid w:val="00151185"/>
    <w:rsid w:val="00175293"/>
    <w:rsid w:val="0017594B"/>
    <w:rsid w:val="00181B48"/>
    <w:rsid w:val="001848BF"/>
    <w:rsid w:val="00186B67"/>
    <w:rsid w:val="00187ADD"/>
    <w:rsid w:val="00193227"/>
    <w:rsid w:val="001A22C2"/>
    <w:rsid w:val="001A6523"/>
    <w:rsid w:val="001A6DBC"/>
    <w:rsid w:val="001C3C0F"/>
    <w:rsid w:val="001C497E"/>
    <w:rsid w:val="001C4E8F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6B0D"/>
    <w:rsid w:val="00287A77"/>
    <w:rsid w:val="002A008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13FE7"/>
    <w:rsid w:val="00420912"/>
    <w:rsid w:val="00423154"/>
    <w:rsid w:val="0042521D"/>
    <w:rsid w:val="004265BF"/>
    <w:rsid w:val="00430F18"/>
    <w:rsid w:val="00435A8D"/>
    <w:rsid w:val="00455412"/>
    <w:rsid w:val="004576A6"/>
    <w:rsid w:val="00461BF8"/>
    <w:rsid w:val="00464DC7"/>
    <w:rsid w:val="00471DD8"/>
    <w:rsid w:val="0048175A"/>
    <w:rsid w:val="00485017"/>
    <w:rsid w:val="004A2419"/>
    <w:rsid w:val="004A7E9C"/>
    <w:rsid w:val="004B49B5"/>
    <w:rsid w:val="004B7958"/>
    <w:rsid w:val="004C380C"/>
    <w:rsid w:val="004C4229"/>
    <w:rsid w:val="004C4A64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90673"/>
    <w:rsid w:val="00591C88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4998"/>
    <w:rsid w:val="00627E24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3540"/>
    <w:rsid w:val="007F65B4"/>
    <w:rsid w:val="00804A7E"/>
    <w:rsid w:val="00805D91"/>
    <w:rsid w:val="008106FC"/>
    <w:rsid w:val="0081206F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7BD8"/>
    <w:rsid w:val="0086455F"/>
    <w:rsid w:val="008648B8"/>
    <w:rsid w:val="00867991"/>
    <w:rsid w:val="00867B75"/>
    <w:rsid w:val="00872C06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220"/>
    <w:rsid w:val="008E361D"/>
    <w:rsid w:val="008E4A45"/>
    <w:rsid w:val="008F2E36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413D"/>
    <w:rsid w:val="00936C76"/>
    <w:rsid w:val="00952FC3"/>
    <w:rsid w:val="00955AD3"/>
    <w:rsid w:val="00956070"/>
    <w:rsid w:val="0096157B"/>
    <w:rsid w:val="00961685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5FE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66BF"/>
    <w:rsid w:val="00BA293C"/>
    <w:rsid w:val="00BA45AE"/>
    <w:rsid w:val="00BA6DC1"/>
    <w:rsid w:val="00BB25BD"/>
    <w:rsid w:val="00BB2EF2"/>
    <w:rsid w:val="00BB40C9"/>
    <w:rsid w:val="00BB7268"/>
    <w:rsid w:val="00BC334D"/>
    <w:rsid w:val="00BC35BA"/>
    <w:rsid w:val="00BD166E"/>
    <w:rsid w:val="00BD2059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52F62"/>
    <w:rsid w:val="00C56587"/>
    <w:rsid w:val="00C610F3"/>
    <w:rsid w:val="00C624BC"/>
    <w:rsid w:val="00C648C5"/>
    <w:rsid w:val="00C71568"/>
    <w:rsid w:val="00C71ECB"/>
    <w:rsid w:val="00C769C1"/>
    <w:rsid w:val="00C856EA"/>
    <w:rsid w:val="00C9060A"/>
    <w:rsid w:val="00C95DCB"/>
    <w:rsid w:val="00CA0EDC"/>
    <w:rsid w:val="00CA11C7"/>
    <w:rsid w:val="00CA6CB3"/>
    <w:rsid w:val="00CB7109"/>
    <w:rsid w:val="00CC0AB1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826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77193"/>
    <w:rsid w:val="00E82801"/>
    <w:rsid w:val="00E8463E"/>
    <w:rsid w:val="00E84845"/>
    <w:rsid w:val="00E87144"/>
    <w:rsid w:val="00E95722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F511F"/>
    <w:rsid w:val="00EF5836"/>
    <w:rsid w:val="00F1327A"/>
    <w:rsid w:val="00F14D50"/>
    <w:rsid w:val="00F171DF"/>
    <w:rsid w:val="00F178CB"/>
    <w:rsid w:val="00F21BBE"/>
    <w:rsid w:val="00F21F93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2DD7"/>
    <w:rsid w:val="00FC17C0"/>
    <w:rsid w:val="00FC2638"/>
    <w:rsid w:val="00FD4A64"/>
    <w:rsid w:val="00FD6110"/>
    <w:rsid w:val="00FD7437"/>
    <w:rsid w:val="00FE3110"/>
    <w:rsid w:val="00FE4826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14</TotalTime>
  <Pages>1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10</cp:revision>
  <cp:lastPrinted>2017-12-14T09:11:00Z</cp:lastPrinted>
  <dcterms:created xsi:type="dcterms:W3CDTF">2018-11-13T06:05:00Z</dcterms:created>
  <dcterms:modified xsi:type="dcterms:W3CDTF">2018-11-16T13:33:00Z</dcterms:modified>
</cp:coreProperties>
</file>